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line="240" w:lineRule="auto"/>
        <w:jc w:val="center"/>
        <w:rPr>
          <w:rFonts w:ascii="Calibri" w:cs="Calibri" w:eastAsia="Calibri" w:hAnsi="Calibri"/>
          <w:b w:val="1"/>
          <w:sz w:val="24"/>
          <w:szCs w:val="24"/>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UTAH</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(UT Code Ann. § 32B-11-403(1)(b)(ii)).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liquor transport licensees can only deliver to a retail licensee, a central receiving and distribution center, or an airport licensee (UT Code Ann. § 32B-17-301).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Intra-state</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manufacturers must sell liquor to the UT Department of Alcoholic Beverage Control (UT Code Ann. § 32B-11-403(1)(b)(i). </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COVID-19 Measures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Licensees may only sell alcohol as governed by law. The governor’s executive orders did not modify the legal requirements relating to alcohol service. No licensees may offer curbside alcohol sales or service.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https://abc.utah.gov/wp-content/uploads/Home/covid19/05-11-20-DABC-COVID-19-Notice.pdf</w:t>
        </w:r>
      </w:hyperlink>
      <w:r w:rsidDel="00000000" w:rsidR="00000000" w:rsidRPr="00000000">
        <w:rPr>
          <w:rFonts w:ascii="Calibri" w:cs="Calibri" w:eastAsia="Calibri" w:hAnsi="Calibri"/>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1A1">
      <w:pPr>
        <w:widowControl w:val="0"/>
        <w:spacing w:before="235" w:line="240" w:lineRule="auto"/>
        <w:ind w:left="23"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2">
      <w:pPr>
        <w:widowControl w:val="0"/>
        <w:spacing w:before="225"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Utah Code Annotated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 32B-11-403 Specific authority and operational requirements for distillery manufacturing license.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 distillery manufacturing license allows a distillery manufacturing licensee to:  </w:t>
      </w:r>
    </w:p>
    <w:p w:rsidR="00000000" w:rsidDel="00000000" w:rsidP="00000000" w:rsidRDefault="00000000" w:rsidRPr="00000000" w14:paraId="000001A4">
      <w:pPr>
        <w:widowControl w:val="0"/>
        <w:spacing w:before="4" w:line="240" w:lineRule="auto"/>
        <w:ind w:left="23" w:firstLine="0"/>
        <w:rPr>
          <w:rFonts w:ascii="Calibri" w:cs="Calibri" w:eastAsia="Calibri" w:hAnsi="Calibri"/>
        </w:rPr>
      </w:pPr>
      <w:r w:rsidDel="00000000" w:rsidR="00000000" w:rsidRPr="00000000">
        <w:rPr>
          <w:rFonts w:ascii="Calibri" w:cs="Calibri" w:eastAsia="Calibri" w:hAnsi="Calibri"/>
          <w:rtl w:val="0"/>
        </w:rPr>
        <w:t xml:space="preserve">(b) sell liquor to:  </w:t>
      </w:r>
    </w:p>
    <w:p w:rsidR="00000000" w:rsidDel="00000000" w:rsidP="00000000" w:rsidRDefault="00000000" w:rsidRPr="00000000" w14:paraId="000001A5">
      <w:pPr>
        <w:widowControl w:val="0"/>
        <w:spacing w:line="240" w:lineRule="auto"/>
        <w:ind w:left="23" w:firstLine="0"/>
        <w:rPr>
          <w:rFonts w:ascii="Calibri" w:cs="Calibri" w:eastAsia="Calibri" w:hAnsi="Calibri"/>
        </w:rPr>
      </w:pPr>
      <w:r w:rsidDel="00000000" w:rsidR="00000000" w:rsidRPr="00000000">
        <w:rPr>
          <w:rFonts w:ascii="Calibri" w:cs="Calibri" w:eastAsia="Calibri" w:hAnsi="Calibri"/>
          <w:rtl w:val="0"/>
        </w:rPr>
        <w:t xml:space="preserve">(i) the department; </w:t>
      </w:r>
    </w:p>
    <w:p w:rsidR="00000000" w:rsidDel="00000000" w:rsidP="00000000" w:rsidRDefault="00000000" w:rsidRPr="00000000" w14:paraId="000001A6">
      <w:pPr>
        <w:widowControl w:val="0"/>
        <w:spacing w:line="240" w:lineRule="auto"/>
        <w:ind w:left="23" w:firstLine="0"/>
        <w:rPr>
          <w:rFonts w:ascii="Calibri" w:cs="Calibri" w:eastAsia="Calibri" w:hAnsi="Calibri"/>
        </w:rPr>
      </w:pPr>
      <w:r w:rsidDel="00000000" w:rsidR="00000000" w:rsidRPr="00000000">
        <w:rPr>
          <w:rFonts w:ascii="Calibri" w:cs="Calibri" w:eastAsia="Calibri" w:hAnsi="Calibri"/>
          <w:rtl w:val="0"/>
        </w:rPr>
        <w:t xml:space="preserve">(ii) an out-of-state customer;  </w:t>
      </w:r>
    </w:p>
    <w:p w:rsidR="00000000" w:rsidDel="00000000" w:rsidP="00000000" w:rsidRDefault="00000000" w:rsidRPr="00000000" w14:paraId="000001A7">
      <w:pPr>
        <w:widowControl w:val="0"/>
        <w:spacing w:line="240"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https://le.utah.gov/xcode/Title32B/Chapter11/32B-11-S403.html?v=C32B-11-S403_2020051220200512</w:t>
        </w:r>
      </w:hyperlink>
      <w:r w:rsidDel="00000000" w:rsidR="00000000" w:rsidRPr="00000000">
        <w:rPr>
          <w:rtl w:val="0"/>
        </w:rPr>
      </w:r>
    </w:p>
    <w:p w:rsidR="00000000" w:rsidDel="00000000" w:rsidP="00000000" w:rsidRDefault="00000000" w:rsidRPr="00000000" w14:paraId="000001A8">
      <w:pPr>
        <w:widowControl w:val="0"/>
        <w:spacing w:line="240" w:lineRule="auto"/>
        <w:ind w:left="19" w:firstLine="0"/>
        <w:rPr>
          <w:rFonts w:ascii="Calibri" w:cs="Calibri" w:eastAsia="Calibri" w:hAnsi="Calibri"/>
          <w:color w:val="000080"/>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32B-17-301 General operational requirements for liquor transport license.  </w:t>
      </w:r>
    </w:p>
    <w:p w:rsidR="00000000" w:rsidDel="00000000" w:rsidP="00000000" w:rsidRDefault="00000000" w:rsidRPr="00000000" w14:paraId="000001AA">
      <w:pPr>
        <w:widowControl w:val="0"/>
        <w:spacing w:line="223" w:lineRule="auto"/>
        <w:ind w:left="23" w:right="1510" w:firstLine="0"/>
        <w:rPr>
          <w:rFonts w:ascii="Calibri" w:cs="Calibri" w:eastAsia="Calibri" w:hAnsi="Calibri"/>
        </w:rPr>
      </w:pPr>
      <w:r w:rsidDel="00000000" w:rsidR="00000000" w:rsidRPr="00000000">
        <w:rPr>
          <w:rFonts w:ascii="Calibri" w:cs="Calibri" w:eastAsia="Calibri" w:hAnsi="Calibri"/>
          <w:rtl w:val="0"/>
        </w:rPr>
        <w:t xml:space="preserve">(4)(a) A liquor transport licensee may not deliver alcoholic product to a person within the state except to: (i) a retail licensee; </w:t>
      </w:r>
    </w:p>
    <w:p w:rsidR="00000000" w:rsidDel="00000000" w:rsidP="00000000" w:rsidRDefault="00000000" w:rsidRPr="00000000" w14:paraId="000001AB">
      <w:pPr>
        <w:widowControl w:val="0"/>
        <w:spacing w:before="8" w:line="240" w:lineRule="auto"/>
        <w:ind w:left="23" w:firstLine="0"/>
        <w:rPr>
          <w:rFonts w:ascii="Calibri" w:cs="Calibri" w:eastAsia="Calibri" w:hAnsi="Calibri"/>
        </w:rPr>
      </w:pPr>
      <w:r w:rsidDel="00000000" w:rsidR="00000000" w:rsidRPr="00000000">
        <w:rPr>
          <w:rFonts w:ascii="Calibri" w:cs="Calibri" w:eastAsia="Calibri" w:hAnsi="Calibri"/>
          <w:rtl w:val="0"/>
        </w:rPr>
        <w:t xml:space="preserve">(ii) a central receiving and distribution center; or </w:t>
      </w:r>
    </w:p>
    <w:p w:rsidR="00000000" w:rsidDel="00000000" w:rsidP="00000000" w:rsidRDefault="00000000" w:rsidRPr="00000000" w14:paraId="000001AC">
      <w:pPr>
        <w:widowControl w:val="0"/>
        <w:spacing w:line="228" w:lineRule="auto"/>
        <w:ind w:left="19" w:right="1128" w:firstLine="3.999999999999999"/>
        <w:rPr>
          <w:rFonts w:ascii="Calibri" w:cs="Calibri" w:eastAsia="Calibri" w:hAnsi="Calibri"/>
          <w:b w:val="1"/>
          <w:color w:val="1155cc"/>
          <w:u w:val="single"/>
        </w:rPr>
      </w:pPr>
      <w:r w:rsidDel="00000000" w:rsidR="00000000" w:rsidRPr="00000000">
        <w:rPr>
          <w:rFonts w:ascii="Calibri" w:cs="Calibri" w:eastAsia="Calibri" w:hAnsi="Calibri"/>
          <w:rtl w:val="0"/>
        </w:rPr>
        <w:t xml:space="preserve">(iii) if the liquor transport licensee is a central receiving and distribution center, an airport licensee. </w:t>
      </w: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https://le.utah.gov/xcode/Title32B/Chapter17/32B-17-S301.html?v=C32B-17-S301_2020062520200625</w:t>
        </w:r>
      </w:hyperlink>
      <w:r w:rsidDel="00000000" w:rsidR="00000000" w:rsidRPr="00000000">
        <w:rPr>
          <w:rtl w:val="0"/>
        </w:rPr>
      </w:r>
    </w:p>
    <w:p w:rsidR="00000000" w:rsidDel="00000000" w:rsidP="00000000" w:rsidRDefault="00000000" w:rsidRPr="00000000" w14:paraId="000001AD">
      <w:pPr>
        <w:widowControl w:val="0"/>
        <w:spacing w:before="230" w:line="228" w:lineRule="auto"/>
        <w:ind w:left="19" w:right="4" w:firstLine="2.0000000000000018"/>
        <w:rPr>
          <w:rFonts w:ascii="Times New Roman" w:cs="Times New Roman" w:eastAsia="Times New Roman" w:hAnsi="Times New Roman"/>
          <w:b w:val="1"/>
          <w:color w:val="484848"/>
          <w:highlight w:val="white"/>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December 2020</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E">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0">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840B2F"/>
    <w:pPr>
      <w:spacing w:line="240" w:lineRule="auto"/>
    </w:pPr>
  </w:style>
  <w:style w:type="paragraph" w:styleId="Header">
    <w:name w:val="header"/>
    <w:basedOn w:val="Normal"/>
    <w:link w:val="HeaderChar"/>
    <w:uiPriority w:val="99"/>
    <w:unhideWhenUsed w:val="1"/>
    <w:rsid w:val="00840B2F"/>
    <w:pPr>
      <w:tabs>
        <w:tab w:val="center" w:pos="4680"/>
        <w:tab w:val="right" w:pos="9360"/>
      </w:tabs>
      <w:spacing w:line="240" w:lineRule="auto"/>
    </w:pPr>
  </w:style>
  <w:style w:type="character" w:styleId="HeaderChar" w:customStyle="1">
    <w:name w:val="Header Char"/>
    <w:basedOn w:val="DefaultParagraphFont"/>
    <w:link w:val="Header"/>
    <w:uiPriority w:val="99"/>
    <w:rsid w:val="00840B2F"/>
  </w:style>
  <w:style w:type="paragraph" w:styleId="Footer">
    <w:name w:val="footer"/>
    <w:basedOn w:val="Normal"/>
    <w:link w:val="FooterChar"/>
    <w:uiPriority w:val="99"/>
    <w:unhideWhenUsed w:val="1"/>
    <w:rsid w:val="00840B2F"/>
    <w:pPr>
      <w:tabs>
        <w:tab w:val="center" w:pos="4680"/>
        <w:tab w:val="right" w:pos="9360"/>
      </w:tabs>
      <w:spacing w:line="240" w:lineRule="auto"/>
    </w:pPr>
  </w:style>
  <w:style w:type="character" w:styleId="FooterChar" w:customStyle="1">
    <w:name w:val="Footer Char"/>
    <w:basedOn w:val="DefaultParagraphFont"/>
    <w:link w:val="Footer"/>
    <w:uiPriority w:val="99"/>
    <w:rsid w:val="00840B2F"/>
  </w:style>
  <w:style w:type="character" w:styleId="Hyperlink">
    <w:name w:val="Hyperlink"/>
    <w:basedOn w:val="DefaultParagraphFont"/>
    <w:uiPriority w:val="99"/>
    <w:unhideWhenUsed w:val="1"/>
    <w:rsid w:val="004B3C78"/>
    <w:rPr>
      <w:color w:val="0000ff" w:themeColor="hyperlink"/>
      <w:u w:val="single"/>
    </w:rPr>
  </w:style>
  <w:style w:type="character" w:styleId="UnresolvedMention">
    <w:name w:val="Unresolved Mention"/>
    <w:basedOn w:val="DefaultParagraphFont"/>
    <w:uiPriority w:val="99"/>
    <w:semiHidden w:val="1"/>
    <w:unhideWhenUsed w:val="1"/>
    <w:rsid w:val="004B3C7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bc.utah.gov/wp-content/uploads/Home/covid19/05-11-20-DABC-COVID-19-Notice.pdf" TargetMode="External"/><Relationship Id="rId10" Type="http://schemas.openxmlformats.org/officeDocument/2006/relationships/footer" Target="footer1.xml"/><Relationship Id="rId13" Type="http://schemas.openxmlformats.org/officeDocument/2006/relationships/hyperlink" Target="https://le.utah.gov/xcode/Title32B/Chapter17/32B-17-S301.html?v=C32B-17-S301_2020062520200625" TargetMode="External"/><Relationship Id="rId12" Type="http://schemas.openxmlformats.org/officeDocument/2006/relationships/hyperlink" Target="https://le.utah.gov/xcode/Title32B/Chapter11/32B-11-S403.html?v=C32B-11-S403_20200512202005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BvOTsb8wAltOF0AQcdyWeS49A==">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2021-08-09T22:55:00Z</dcterms:created>
</cp:coreProperties>
</file>